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Шамонина Александра Андреевича на нарушение его конституционных прав статьями 74, 3899, 38911 и 38913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А.А.Шамонина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А.А.Шамонин, привлеченный к уголовной ответственности, просит признать противоречащими статьям 19, 21 (часть 1), 23 (часть 1), 45, 46, 49 и 50 (часть 3) Конституции Российской Федерации статьи 74 «Доказательства», 3899 «Предмет судебного разбирательства в апелляционном порядке», 38911 «Назначение и подготовка заседания суда апелляционной инстанции» и 38913 «Порядок рассмотрения уголовного дела судом апелляционной инстанции» УПК Российской Федерации. По мнению заявителя, оспариваемые нормы не позволяют признавать в качестве доказательства копию приговора, а также не обязывают суд апелляционной 2 инстанции: по заявлению осужденного непосредственно исследовать копии приговора, в которых отсутствует описание преступного деяния, содержащееся в самом приговоре, сличать копии приговора с оригиналом, оценивая значение выявленных различий; инициировать служебную проверку в суде первой инстанции в части выяснения причины выявленных различий; получать от судьи первой инстанции объяснения в связи с внесением в приговор изменений, которые не были заверены должным образом; назначать экспертизу копий приговора; исследовать материалы служебной проверки в судебном заседании суда апелляционной инстанции наряду с другими доказательствами и давать оценку результатам такой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А.А.Шамонин, аргументируя свою позицию о нарушении его прав, утверждает, в частности, что, вопреки требованиям действующего правового регулирования, копия приговора, врученная ему до вступления приговора в законную силу, не содержала описания одного из инкриминированных ему преступных деяний; при рассмотрении дела судом апелляционной инстанции было установлено, что в самом приговоре имеется такое описание, что, по мнению А.А.Шамонина, свидетельствует о внесении незаконных изменений в приговор после получения судом апелляционной инстанции жалоб осужденных, т.е. после постановления приговора и за пределами совещательной комнаты, и является основанием для отмены приговора; суд апелляционной инстанции уклонился от исследования и оценки соответствующих обстоятельств. Тем самым заявитель, по существу, предлагает Конституционному Суду Российской Федерации не оценить содержание оспариваемых им положений уголовно-процессуального закона, а проверить законность и обоснованность конкретных правоприменительных решений и действий с учетом обстоятельств его дела. Между тем разрешение такого рода вопросов не относится к компетенции Конституционного Суда 3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Соответственно,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Шамонина Александра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