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«Вымпел» на нарушение его конституционных прав подпунктом 37 пункта 1 статьи 251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«Вымпел»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«Вымпел» (далее также – ООО «Вымпел») оспаривает конституционность подпункта 37 пункта 1 статьи 251 Налогового кодекса Российской Федерации, закрепляющего, что при определении налоговой базы по налогу на прибыль организаций не учитываются доходы в виде имущества и (или) имущественных прав, полученных по концессионному соглашению, соглашению о государственно- частном партнерстве, соглашению о муниципально-частном партнерстве в соответствии с законодательством Российской Федерации, за исключением денежных средств, полученных от концедента или публичного партнера по указанным соглашениям. 2 Как следует из представленных материалов, вступившими в законную силу актами арбитражных судов ООО «Вымпел» отказано в удовлетворении требования о признании недействительным решения налогового органа о привлечении к налоговой ответственности. При этом суды указали, что в составе доходов концессионера не учитывается только имущество (имущественные права), полученное по концессионному соглашению, при этом в составе доходов должна быть учтена плата концедента. По мнению ООО «Вымпел», оспариваемые законоположения противоречат статьям 8, 19, 34, 35 и 57 Конституции Российской Федерации, поскольку признают в качестве дохода концессионера полученные им от концедента денежные средства в рамках совместной деятельности, где концессионер выступает в качестве застройщика, а не подрядчика.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«Вымпел»,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