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Шеревкуловой Оксаны Владимировны на нарушение ее конституционных прав статьями 199 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О.В.Шеревкуловой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О.В.Шеревкулова оспаривает конституционность статей 199 «Применение исковой давности» и 200 «Начало течения срока исковой давности» ГК Российской Федерации. Из представленных материалов следует, что в рамках дела о банкротстве бывшего супруга О.В.Шеревкуловой определением суда первой инстанции, оставленным без изменения постановлением суда апелляционной инстанции, требования, включенные в реестр требований кредиторов должника, признаны общими обязательствами супругов. Суд первой инстанции указал, что срок исковой давности не применяется к требованию о 2 признании обязательства общим обязательством супругов. В передаче кассационной жалобы О.В.Шеревкуловой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оспариваемые нормы противоречат статьям 2, 8, 35 (часть 1), 45 (часть 1), 46 (часть 1), 52 и 55 (часть 3) Конституции Российской Федерации, поскольку по смыслу, придаваемому им правоприменительной практикой, в рамках дела о банкротстве они позволяют суду не применять нормы гражданского права об исковой давности в обособленном споре о признании обязательства общим обязательством супругов.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Шеревкуловой Оксаны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