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Страхова Владимира Вячеславовича на нарушение его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В.В.Страхова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В.В.Страхов оспаривает конституционность пункта 1 статьи 200 «Начало течения срока исковой давности» ГК Российской Федерации. Решением суда общей юрисдикции, оставленным без изменения судами вышестоящих инстанций, отказано в удовлетворении иска В.В.Страхова и гражданки С., наряду с которой он был признан потерпевшим по уголовному делу, о признании ничтожными договора купли-продажи недвижимого имущества и иных сделок, о признании права собственности и о возмещении убытков. Определением судьи Верховного Суда Российской Федерации, с которым согласился заместитель Председателя того же суда, 2 отказано в передаче кассационной жалобы В.В.Страхова для рассмотрения в судебном заседании суда кассационной инстанции. По мнению заявителя, оспариваемое положение не соответствует статье 46 (часть 1) Конституции Российской Федерации, поскольку по смыслу, придаваемому ему правоприменительной практикой, оно допускает отказ в удовлетворении иска о возмещении вреда, причиненного преступлением, по мотиву истечения срока исковой давности до вынесения постановления следователя о прекращении по нереабилитирующему основанию уголовного дела, которым, в частности, установлены обстоятельства совершения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Страхова Владимира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