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Мирошниковой Натальи Викторовны на нарушение ее конституционных прав частями первой, второй, четвертой и шестой статьи 99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Н.В.Мирошниковой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Н.В.Мирошникова оспаривает конституционность положений статьи 99 Трудового кодекса Российской Федерации: части первой, содержащей определение сверхурочной работы; части второй, закрепляющей перечень случаев привлечения работодателем работника к сверхурочной работе с его письменного согласия; части четвертой, согласно которой привлечение работника к сверхурочной работе в случаях, не предусмотренных частями второй и третьей данной статьи, допускается с письменного согласия работника и с учетом мнения выборного органа первичной профсоюзной организации; части шестой, определяющей предельную продолжительность сверхурочной работы. 2 По мнению заявительницы, исковые требования которой об оплате сверхурочной работы были частично удовлетворены, оспариваемые положения не соответствуют статье 37 (части 1–3) Конституции Российской Федерации, поскольку позволяют работодателю не оформлять надлежащим образом привлечение работника к сверхурочной работе и не учитывать часы сверхурочной работы при суммированном учете рабочего времени, если учетный период еще не окончен.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99 Трудового кодекса Российской Федерации содержит определение сверхурочной работы, является нормой-дефиницией и как таковая конституционные права граждан не затрагивает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Мирошниковой Натальи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