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Лаврентьевой Ольги Ивановны на нарушение ее конституционных прав пунктом 1 части 1 статьи 36 Жилищного кодекса Российской Федерации и пунктом 1.6 Правил и норм технической эксплуатации жилищного фонда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О.И.Лаврентьевой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О.И.Лаврентьева оспаривает конституционность пункта 1 части 1 статьи 36 «Право собственности на общее имущество собственников помещений в многоквартирном доме» Жилищного кодекса Российской Федерации и пункта 1.6 Правил и норм технической эксплуатации жилищного фонда, утвержденных постановлением Госстроя России от 27 сентября 2003 года № 170. Из представленных материалов следует, что апелляционным определением апелляционного суда общей юрисдикции, с которым согласился суд кассационной инстанции, заявительнице отказано в 2 удовлетворении требования о возложении на организацию, осуществляющую управление многоквартирным домом, в котором расположено принадлежащее ей жилое помещение, обязанности привести технический паспорт многоквартирного дома в соответствие с нормативными требованиями, в том числе указать актуальные сведения об общих площадях жилых и нежилых помещений, мест общего пользования указанного дома. Суды при этом исходили из того, что обязанность по своевременному внесению изменений в соответствующий документ лежит на собственниках помещений.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О.И.Лаврентьевой для рассмотрения в судебном заседании суда кассационной инстанции. По мнению заявительницы, пункт 1 части 1 статьи 36 Жилищного кодекса Российской Федерации допускает признание вспомогательных помещений (кухонь, бытовых комнат, коридоров и т.д.), относящихся к отдельным приватизированным жилым помещениям в многоквартирном доме, ранее являвшемся общежитием, общим имуществом собственников помещений в указанном доме. Кроме этого, пункт 1.6 Правил и норм технической эксплуатации жилищного фонда предполагает освобождение организаций, осуществляющих управление многоквартирным домом, от обязанности корректировать технические документы в отношении указанного дома, что позволяет необоснованно возлагать на всех собственников жилых помещений в этом доме обязанность нести бремя содержания вспомогательных помещений, принадлежащих собственникам, которым эти помещения переданы при приватизации жилых помещений в указанном доме. В связи с этим О.И.Лаврентьева полагает указанные нормы противоречащими статьям 6 (часть 2), 17, 18, 19 (части 1 и 2), 35 (части 1 и 2), 40 (часть 1), 55 (части 1 и 2) и 57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Лаврентьевой Ольги Ивановны,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