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«Успех» на нарушение его конституционных прав частями 1 и 3 статьи 196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 «Успех»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«Успех» (далее – Общество) оспаривает конституционность следующих положений статьи 196 Жилищного кодекса Российской Федерации: части 1, согласно которой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положением о лицензировании такой деятельности, утвержденным Правительством Российской Федерации; 2 части 3, предусматривающей, что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законом от 31 июля 2020 года № 248-ФЗ «О государственном контроле (надзоре) и муниципальном контроле в Российской Федерации». Из представленных материалов следует, что вступившими в законную силу актами арбитражных судов отказано в удовлетворении требования Общества, являющегося управляющей организацией, о признании недействительным выданного органом жилищного надзора предписания об устранении нарушений лицензионных требований. Как установили суды, предписание было выдано по результатам проведенной с соблюдением законодательства о государственном контроле (надзоре) внеплановой выездной проверки, включавшей истребование у заявителя документов. По мнению Общества, оспариваемые законоположения не соответствуют статьям 19 (часть 1), 34 (часть 1), 46 (часть 1) и 55 (часть 3) Конституции Российской Федерации, поскольку допускают при проведении внеплановой выездной проверки превышение органом жилищного надзора его полномочий, в том числе истребование у управляющей компании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1 и 3 статьи 196 Жилищного кодекса Российской Федерации определяют нормативные акты, регламентирующие организацию и осуществление регионального государственного лицензионного контроля за деятельностью по управлению многоквартирными домами. В части 2 названной статьи сформулирован предмет данного регионального государственного лицензионного контроля (соблюдение лицензиатами 3 лицензионных требований, действующих в соответствующей сфере). Указанные положения предполагают, что органы жилищного надзора, осуществляя контрольные полномочия по выявлению нарушений управляющими организациями обязательных для них требований, действуют строго в пределах, предусмотренных нормативным регулированием государственного контроля (надзора). Таким образом, оспариваемые законоположения, действующие в системе с нормативным регулированием осуществляемых органами жилищного надзора полномочий, не могут расцениваться в качестве нарушающих конституционные права Общества, разрешая требования которого суды пришли к выводу об отсутствии доказательств допущения уполномоченным органом нарушений при проведении внеплановой выездной проверки. Переоценка приведенных выводов судов, как предполагающая исследование установленных по конкретному делу заявителя обстоятельств и выбор применимых с учетом этого норм права,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«Успех»,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