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«Компания Эталон» и гражданина Антипова Юрия Васильевича на нарушение их конституционных прав статьями 12, 1493 и 301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акционерного общества «Компания Эталон» и гражданина Ю.В.Антипова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Федерации, действующий в интересах Российской Федерации, обратился в арбитражный суд с иском к акционерному обществу «Компания Эталон» (далее также – АО «Компания Эталон»), а также к гражданину Ю.В.Антипову и гражданке А., являющимся акционерами АО «Компания Эталон», об истребовании акций трех акционерных обществ. Решением арбитражного суда, оставленным без изменения постановлениями судов апелляционной и кассационной инстанций, требования удовлетворены: из чужого незаконного владения АО «Компания Эталон» в пользу 2 Российской Федерации истребовано имущество в виде акций трех акционерных обществ. АО «Компания Эталон» и Ю.В.Антипов оспаривают конституционность статей 12 «Способы защиты гражданских прав», 1493 «Защита нарушенных прав правообладателей» и 301 «Истребование имущества из чужого незаконного владения» ГК Российской Федерации. По мнению заявителей, данные законоположения противоречат Конституции Российской Федерации, в том числе ее статьям 35, 45, 46, 52, 53 и 55, поскольку по смыслу, придаваемому им правоприменительной практикой в системе действующего правового регулирования, они позволяют истребовать не само выбывшее из владения государства незаконно приватизированное имущество, а акции акционированных в ходе такой незаконной приватизации государственных предприятий.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12 ГК Российской Федерации, содержащие перечень способов защиты гражданских прав, направлены на обеспечение защиты прав и свобод и восстановление нарушенных прав (определения Конституционного Суда Российской Федерации от 20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«Компания Эталон» и гражданина Антипова Юрия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