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Черечон Ларисы Юрьевны на нарушение ее конституционных прав пунктом 2 статьи 45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Л.Ю.Черечон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Л.Ю.Черечон оспаривает конституционность пункта 2 статьи 45 Семейного кодекса Российской Федерации, а фактически – его абзаца первого, закрепляющего, что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Из представленных материалов следует, что в рамках дела о банкротстве гражданина Ч. – бывшего супруга Л.Ю.Черечон постановлением 2 суда апелляционной инстанции отменено определение арбитражного суда первой инстанции об отказе в удовлетворении заявления кредитора (гражданина Б.), направленного на признание обязательства перед ним общим обязательством супругов. Суд апелляционной инстанции, признав обязательство общим обязательством супругов, указал, что денежные средства, полученные Ч. от Б. по договорам займа, направлены на финансирование хозяйственного общества, на долю в уставном капитале которого Л.Ю.Черечон вправе претендовать при разделе общего имущества супругов. В передаче кассационной жалобы Л.Ю.Черечон на названное апелляционное постановление и постановление суда кассационной инстанции, которым оно оставлено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оспариваемое положение противоречит статье 35 Конституции Российской Федерации, поскольку по смыслу, придаваемому ему правоприменительной практикой, оно позволяет судам признавать обязательство возвратить заем, использованный одним из супругов для экономической деятельности, в которой не участвует второй супруг, и обязательство, полученное по которому предположительно использовано на нужды семьи, общими обязательствами супругов, произвольно толковать понятие общих нужд семьи и относить к таким нуждам расходы, предположительно понесенные семьей в период получения займа.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первый пункта 2 статьи 45 Семейного кодекса Российской Федерации, предусматривающий обращение взыскания на общее имущество супругов в указанных в нем случаях, обеспечивает баланс имущественных интересов участников гражданского оборота (определения Конституционного Суда Российской Федерации от 27 февраля 2024 года № 3 445-О и от 24 декабря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Черечон Ларисы Юрьевны,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