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Лашкевича Андрея Борисовича на нарушение его конституционных прав статьями 195 и 196, а также пунктом 1 статьи 200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А.Б.Лашкевича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А.Б.Лашкевич оспаривает конституционность статей 195 «Понятие исковой давности» и 196 «Общий срок исковой давности», а также пункта 1 статьи 200 ГК Российской Федерации, согласно которому, 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 Как следует из представленных материалов, определением арбитражного суда, оставленным судами вышестоящих инстанций без изменения, в конкурсную массу должника взысканы убытки, причиненные заявителем при исполнении им обязанностей конкурсного управляющего. 2 Суды установили, что процессуальное бездействие конкурсного управляющего А.Б.Лашкевича в процедуре конкурсного производства должника повлекло невозможность пополнения конкурсной массы и, как следствие, удовлетворения требований кредиторов. Суды отклонили довод заявителя о пропуске срока исковой давности по требованию о взыскании с него убытков. По мнению А.Б.Лашкевича, оспариваемые нормы противоречат статьям 46 и 123 (часть 1) Конституции Российской Федерации в той мере, в какой они по смыслу, придаваемому им правоприменительной практикой, допускают продление сроков исковой давности посредством принятия судебных актов по иным делам.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Лашкевича Андрея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