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Ковригиной Натальи Николаевны на нарушение конституционных прав ее несовершеннолетних детей пунктом 2 статьи 353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Н.Н.Ковригиной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Н.Н.Ковригина оспаривает конституционность пункта 2 статьи 353 ГК Российской Федерации, предусматривающего, что, если имущество залогодателя, являющееся предметом залога, перешло в порядке правопреемства к нескольким лицам, каждый из правопреемников (приобретателей имущества) несет вытекающие из залога последствия неисполнения обеспеченного залогом обязательства соразмерно перешедшей к нему части указанного имущества; однако если предмет залога неделим 2 или по иным основаниям остается в общей собственности правопреемников, они становятся солидарными залогодателями. Из представленных материалов следует, что определением арбитражного суда, оставленным без изменения постановлением суда апелляционной инстанции, в рамках дела о банкротстве Н.Н.Ковригиной отказано в удовлетворении ее ходатайства о разрешении разногласий, в обоснование которого она указывала, что ей принадлежит лишь доля в праве собственности на жилое помещение, реализуемое путем продажи с торгов. Суды указали, что взыскание на это жилое помещение как на предмет залога ранее было обращено решением суда общей юрисдикции. В передаче кассационной жалобы Н.Н.Ковригиной на названные акты арбитражных судов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заявительницы, пункт 2 статьи 353 ГК Российской Федерации противоречит статьям 38 (часть 1) и 40 (часть 1) Конституции Российской Федерации, поскольку по смыслу, придаваемому ему правоприменительной практикой в системе действующего правового регулирования, он позволяет обратить взыскание на заложенное имущество должника, несмотря на то что более чем половина в праве собственности на него принадлежит несовершеннолетним детям. Указывая на нарушение конституционных прав своих несовершеннолетних детей, Н.Н.Ковригина фактически подает жалобу в защиту их конституционных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Обеспечение интересов залогодержателя при переходе права на заложенное имущество к другому лицу составляет конституирующий элемент этого института, без которого залог не может выполнять свои 3 функции (Постановление Конституционного Суда Российской Федерации от 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Ковригиной Натальи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