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Криштопова Михаила Александровича на нарушение его конституционных прав частью 3 статьи 48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М.А.Криштопова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М.А.Криштопов оспаривает конституционность части 3 статьи 48 Жилищного кодекса Российской Федерации, закрепляющей, что 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 Как следует из представленных материалов, решением арбитражного суда, с которым согласились суды вышестоящих инстанций, М.А.Криштопову и другим истцам отказано в удовлетворении ряда 2 требований, в том числе о признании недействительным решения общего собрания собственников помещений в нежилом офисном здании. По мнению заявителя, оспариваемая норма противоречит статьям 19 (части 1 и 2), 45, 46 и 55 Конституции Российской Федерации в той мере, в какой по смыслу, придаваемому ей в системе действующего правового регулирования, она допускает возможность ее применения судом при рассмотрении споров, которые возникают между собственниками нежилых помещений, расположенных в нежилом здании.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48 Жилищного кодекса Российской Федерации в силу пункта 1 статьи 6 ГК Российской Федерации может быть применена к отношениям собственников помещений и в нежилых зданиях (пункт 41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Данная норма, действующая в системе положений о порядке голосования на общем собрании собственников помещений в здании, направлена на обеспечение справедливого баланса интересов участников соответствующего гражданско-правового сообщества и не может рассматриваться в качестве нарушающей конституционные права заявителя, в деле с участием которого суды, помимо прочего, отметили, что принятое решение не повлекло для истцов неблагоприятных последствий. Кроме того, содержащееся в параграфе 2 главы 16 ГК Российской Федерации правовое регулирование отношений собственников недвижимых вещей по поводу их общего имущества предусматривает, что решение по вопросам владения, пользования и распоряжения этим имуществом по общему правилу принимается большинством голосов всех собственников недвижимых вещей, а количество голосов, принадлежащих конкретному собственнику, пропорционально размеру принадлежащей ему доли в праве 3 собственности на общее имущество, которая, в свою очередь, пропорциональна площади принадлежащей ему недвижимой вещи (пункт 1 статьи 2592, пункты 2 и 3 статьи 2593). Установление же и оценка фактических обстоятельств конкретного дела, а также проверка правильности выбора и применения судами норм права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Криштопова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