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Зубкова Михаила Владимировича на нарушение его конституционных прав абзацем вторым части шестой статьи 112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М.В.Зубкова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М.В.Зубков оспаривает конституционность абзаца второго части шестой статьи 112 «Восстановление процессуальных сроков» ГПК Российской Федерации. Как следует из представленных материалов, определением судьи кассационного суда общей юрисдикции, оставленным без изменения судебной коллегией по гражданским делам этого суда, М.В.Зубкову было отказано в восстановлении срока на подачу кассационной жалобы на принятые по делу с его участием судебные постановления. Определением судьи Верховного Суда Российской Федерации, с которым согласился заместитель Председателя этого 2 суда, заявителю было отказано в передаче кассационной жалобы на судебные постановления по вопросу о восстановлении пропущенного процессуального срока для рассмотрения в судебном заседании суда кассационной инстанции. По мнению М.В.Зубкова, оспариваемое законоположение не соответствует статьям 19 и 46 Конституции Российской Федерации, поскольку позволяет судам отказывать в восстановлении пропущенного процессуального срока на подачу кассационной жалобы при наличии объективных уважительных причин пропуска этого срока.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Зубкова Михаила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