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2408-О/2025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Колковой Светланы Геннадьевны на нарушение ее конституционных прав пунктами 1 и 2 статьи 80 и пунктом 1 статьи 107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С.Г.Колковой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С.Г.Колкова оспаривает конституционность пунктов 1 и 2 статьи 80 «Обязанности родителей по содержанию несовершеннолетних детей» и пункта 1 статьи 107 «Сроки обращения за алиментами» Семейного кодекса Российской Федерации. Из представленных материалов следует, что определением суда первой инстанции, оставленным без изменения апелляционным определением суда общей юрисдикции (с учетом определения об исправлении описки), отказано в принятии искового заявления 2 С.Г.Колковой о взыскании алиментов на ее совершеннолетнюю дочь. В передаче кассационной жалобы на названные определения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оспариваемые нормы противоречат статьям 17 (часть 1), 18, 38 (часть 2) и 46 (часть 1) Конституции Российской Федерации, поскольку они не позволяют родителю взыскать с другого родителя денежные средства в качестве компенсации алиментов на ребенка с даты первоначального обращения в суд с требованием о взыскании алиментов на этого ребенка, в удовлетворении которого было отказано, до достижения им совершеннолетия.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Определением Конституционного Суда Российской Федерации от 26 июня 2025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Колковой Светланы Геннадьевны,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