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Рохлина Ильи Анатольевича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И.А.Рохлина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И.А.Рохлин оспаривает конституционность части первой статьи 309 «Общие положения», пунктов 1 и 2 статьи 310 «Недопустимость одностороннего отказа от исполнения обязательства», пункта 1 статьи 382 «Основания и порядок перехода прав кредитора к другому лицу», пункта 1 статьи 384 «Объем прав кредитора, переходящих к другому лицу», пункта 1 статьи 388 «Условия уступки требования», абзаца первого пункта 1 статьи 390 «Ответственность цедента», пункта 1 статьи 420 «Понятие договора», пунктов 1 и 4 статьи 421 «Свобода договора», пункта 1 статьи 432 «Основные положения о заключении договора», а также статей 1102 «Обязанность возвратить 2 неосновательное обогащение» и 1109 «Неосновательное обогащение, не подлежащее возврату»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заявителя к гражданке Т. о взыскании неосновательного обогащения. В обоснование иска было среди прочего указано, что денежные средства получены ответчицей от истца за уступку недействительного права требования к гражданину К. о передаче объекта жилой недвижимости в обход специальных правил законодательства, регламентирующего участие в долевом строительстве многоквартирных домов. По мнению заявителя, оспариваемые нормы противоречат статьям 7 (часть 1), 35 (часть 1) и 40 (часть 1) Конституции Российской Федерации, поскольку не исключают оборотоспособности недействительных прав требования о передаче жилых помещений в обход предписаний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Рохлина Ильи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