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Шатило Дмитрия Александровича на нарушение его конституционных прав статьей 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Д.А.Шатило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Д.А.Шатило оспаривает конституционность статьи 15 «Возмещение убытков» ГК Российской Федерации, закрепляющей, в частности, что, если лицо, нарушившее право, получило вследствие этого доходы, лицо, право которого нарушено, вправе требовать возмещения наряду с другими убытками упущенной выгоды в размере не меньшем, чем такие доходы (абзац второй пункта 2). Как следует из представленных материалов, банк-залогодержатель отказал заявителю – победителю торгов по реализации предмета залога (жилого помещения), заключившему договор купли-продажи и исполнившему обязательство по уплате денежных средств по данному договору, в погашении регистрационной записи об ипотеке, однако 2 впоследствии залог был признан прекращенным на основании решения суда. Д.А.Шатило потребовал возмещения упущенной выгоды за период, в течение которого он не мог оформить право собственности на жилое помещение (квартиру), а банк извлекал доход от пользования полученными денежными средствами. Определением суда апелляционной инстанции, с которым согласились суды кассационной инстанции, отменено решение суда общей юрисдикции и принято новое решение об отказе в удовлетворении предъявленного требования. В частности, суды пришли к выводу об отсутствии доказательств наличия у Д.А.Шатило убытков (упущенной выгоды), поскольку рыночная стоимость квартиры существенно превышает цену, за которую она была приобретена. По мнению заявителя, оспариваемая норма противоречит статьям 8, 17, 34 и 35 Конституции Российской Федерации в той мере, в какой не позволяет лицу, право которого было нарушено, но которое впоследствии извлекло прибыль, взыскать убытки (упущенную выгоду) с лица, нарушившего право и получившего вследствие этого доход.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ГК Российской Федерации, действующая с учетом правовой позиции Конституционного Суда Российской Федерации о том,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Шатило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