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частью 2 статьи 302 и частью 1 статьи 314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 оспаривает конституционность части 2 статьи 302 «Действия суда первой инстанции после получения апелляционных жалобы, представления» и части 1 статьи 314 «Срок подачи частной жалобы, представления прокурора» КАС Российской Федерации. Как следует из представленных материалов, определением городского суда, с которыми согласились вышестоящие суды, В.И.Попкову, отбывающему наказание в виде лишения свободы, возвращена частная жалоба, поданная в порядке административного 2 судопроизводства, в связи с истечением срока на обжалование и отсутствием ходатайства о восстановлении этого срока. По мнению заявителя, срок на подачу частной жалобы для осужденных, содержащихся под стражей, должен исчисляться со дня вручения им копии судебного акта. В связи с этим он просит проверить конституционность оспариваемых норм.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законами, к числу которых относится Кодекс административного судопроизводства Российской Федерации (определения от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