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Устраханова Руслана Лом-Алиевича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Р.Л- А.Устраханова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Р.Л-А.Устраханов, осужденный к лишению свободы, просит признать не соответствующими статьям 2, 15, 17–19, 21, 45, 46, 120 и 123 Конституции Российской Федерации часть первую статьи 88 «Правила оценки доказательств», статьи 307 «Описательно-мотивировочная часть обвинительного приговора», 38928 «Апелляционные приговор, определение и постановление», пункт 5 части первой статьи 40111 «Решения судьи суда кассационной инстанции, принимаемые им по результатам рассмотрения кассационных жалобы, представления», пункт 5 статьи 4127 «Постановление об отказе в передаче надзорных жалобы, представления для рассмотрения в судебном заседании Президиума Верховного Суда Российской Федерации» 2 (ошибочно поименованной заявителем как статья 412) УПК Российской Федерации в их взаимосвязи. По мнению заявителя, оспариваемые нормы в системе действующего правового регулирования предоставляют суду возможность в подтверждение своих выводов ссылаться на неисследованные доказательства, не отраженные в протоколе судебного заседания, а также позволяют суду оставлять неподтвержденными обстоятельства, положенные в основу квалификации деяния подсудимого, при наличии в действиях участника оперативно- розыскного мероприятия «проверочная закупка» признаков провокации к совершению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88 и 307 УПК Российской Федерации, закрепляющие правила оценки доказательств и требования к содержанию описательно-мотивировочной части обвинительного приговора, служат гарантией принятия правосудного решения по уголовному делу, а потому не могут расцениваться в качестве нарушающих права заявителя в указанном им аспекте. Требования заявителя и доводы, приведенные в обоснование его позиции, свидетельствуют о том, что нарушение своих конституционных прав он связывает не с содержанием вышеуказанных нормативных положений и статей 38928 и 40111 УПК Российской Федерации, а с неправильным, по его мнению, их применением судами, с решениями которых он фактически выражает несогласие. Между тем установление фактических обстоятельств дела и оценка правильности применения судами норм права с учетом этих обстоятельств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3 Что же касается оспариваемого заявителем пункта 5 статьи 4127 УПК Российской Федерации, то, вопреки требованиям статей 96 и 97 Федерального конституционного закона «О Конституционном Суде Российской Федерации», им не представлено документального подтверждения факта применения судом данного законоположения в его деле.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Устраханова Руслана Лом-Алиевича,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