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Малакович Натальи Николаевны на нарушение ее конституционных прав частью первой статьи 2 Закона Российской Федерации «О гражданстве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Н.Н.Малакович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Н.Н.Малакович оспаривает конституционность части первой статьи 2 Закона Российской Федерации от 28 ноября 1991 года № 1948-I «О гражданстве Российской Федерации» (утратила силу 1 июля 2002 года), согласно которой гражданами Российской Федерации являются лица, приобретшие гражданство Российской Федерации в соответствии с данным Законом; гражданство Российской Федерации является равным независимо от оснований его приобретения. Как следует из представленных материалов, определением суда общей юрисдикции, с которым согласились вышестоящие суды, заявление 2 Н.Н.Малакович и ее матери об установлении фактов, подтверждающих наличие у них российского гражданства по основанию рождения на территории РСФСР, оставлено без рассмотрения. При этом суды разъяснили, что данный спор может быть разрешен в порядке искового производства. По мнению заявительницы, оспариваемая норма позволяет произвольно определять круг лиц, являющихся гражданами Российской Федерации, а потому противоречит статьям 6, 17 (часть 2), 19 (часть 2), 27 (часть 2), 61 и 62 (части 1 и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Малакович Натальи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