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«Адора» на нарушение его конституционных прав пунктом 1 статьи 15, пунктом 1 статьи 1064 и пунктом 1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«Адора»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были частично удовлетворены исковые требования общества с ограниченной ответственностью «Адора» (далее также – ООО «Адора») к ОАО «РЖД» о взыскании убытков в связи с повреждением колесных пар вагона. ООО «Адора» оспаривает конституционность пункта 1 статьи 15 «Возмещение убытков», пункта 1 статьи 1064 «Общие основания ответственности за причинение вреда» и пункта 1 статьи 1079 2 «Ответственность за вред, причиненный деятельностью, создающей повышенную опасность для окружающих» ГК Российской Федерации. По мнению заявителя, данные законоположения противоречат статьям 1 (часть 1), 17, 19 (части 1 и 2), 34 (часть 1), 35 (часть 1), 46 (часть 1), 52, 55 (часть 3), 751 и 123 (часть 3) Конституции Российской Федерации в той мере, в какой они по смыслу, придаваемому им правоприменительной практикой, исключают утрату товарной (имущественной) стоимости поврежденного имущества из состава реального ущерба в нарушение требования возмещения вреда в полном объеме, неправомерно перекладывают бремя доказывания утраты товарной стоимости на потерпевшего, а также позволяют владельцам источника повышенной опасности избегать строгой (безвиновной) ответственности и уклоняться от полного возмещения вреда даже в случае доказанности причиненного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15 и 1064 ГК Российской Федерации, закрепляющие гарантии защиты и восстановления нарушенных прав потерпевших путем полного возмещения причиненного им вреда, а также пункт 1 статьи 1079 того же Кодекса, обеспечивающий защиту прав и законных интересов граждан в случае причинения им вреда источником повышенной опасности, служат цели реализации закрепленного в Конституции Российской Федерации принципа охраны права частной собственности законом (статья 35, часть 1) и не могут расцениваться как нарушающие конституционные права заявителя, в деле с участием которого суд, учитывая, в частности, что уменьшение рыночной стоимости колеса в процессе его эксплуатации и износа является нормальным следствием изнашиваемости деталей вагона, исходил в том числе из недоказанности наличия причинно-следственной связи между действиями ответчика и убытками в виде уменьшения товарной стоимости колес в результате обточки. 3 Установление же и оценка фактических обстоятельств конкретного дела, а равно проверка правильности применения судами оспариваемых норм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«Адора»,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