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3350-О/2024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 Ситолиевой Валентины Галимовны и Часовниковой Евгении Львовны на нарушение их конституционных прав пунктом 1 части второй и частью третьей статьи 392 Гражданского процессуального кодекса Российской Федерации, а также частью первой статьи 79 и пунктом 1 статьи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 В.Г.Ситолиевой и Е.Л.Часовниковой вопрос о возможности принятия их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Определениями от 28 сентября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Пункт 1 статьи 97 Федерального конституционного закона «О Конституционном Суде Российской Федерации», закрепляя критерий допустимости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 Ситолиевой Валентины Галимовны и Часовниковой Евгении Львовны,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гражданами Ситолиевой Валентиной Галимовной и Часовниковой Евгенией Львовной по вопросам о нарушении их конституционных прав пунктом 1 части второй и частью третьей статьи 392 ГПК Российской Федерации, а также частью первой статьи 79 Федерального конституционного закона «О Конституционном Суде Российской Федерации».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