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Пономарева Станислава Анатольевича на нарушение его конституционных прав пунктами 1 и 2 статьи 10, статьями 168, 319, пунктом 4 статьи 329, пунктами 1 и 2 статьи 330, пунктом 1 статьи 333, статьей 395 и пунктом 2 статьи 453 Гражданского кодекса Российской Федерации, а также статьями 55–57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отказано в удовлетворении исковых требований гражданина С.А.Пономарева о взыскании неосновательного обогащения вследствие переплаты по договору лизинга, а также процентов за пользование чужими денежными средствами. Суд исходил из отсутствия оснований для взыскания неосновательного обогащения, установив, в частности, что в связи с допущенной просрочкой в уплате лизингового платежа и начислением предусмотренной договором штрафной неустойки, 2 на момент расторжения договора лизинга у истца образовалась задолженность перед ответчиком, при этом стороны пришли к соглашению о расторжении договора лизинга и заключении договора купли-продажи с учетом всех внесенных истцом платежей. По мнению С.А.Пономарева, пункты 1 и 2 статьи 10 «Пределы осуществления гражданских прав», статьи 168 «Недействительность сделки, нарушающей требования закона или иного правового акта» и 319 «Очередность погашения требований по денежному обязательству», пункт 4 статьи 329 «Способы обеспечения исполнения обязательств», статья 330 «Понятие неустойки», пункт 1 статьи 333 «Уменьшение неустойки», статья 395 «Ответственность за неисполнение денежного обязательства» и пункт 2 статьи 453 «Последствия изменения и расторжения договора» ГК Российской Федерации, а также статьи 55 «Доказательства», 56 «Обязанность доказывания» и 57 «Представление и истребование доказательств» ГПК Российской Федерации не соответствуют Конституции Российской Федерации, в том числе ее статьям 19 (часть 1), 46 (часть 1), 123 (часть 3) и 126.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заявителя, приведенные в обоснование своей позиции, в том числе касающиеся истолкования понятий «проценты» и «неустойка», оценки судами правомерности и действительности условий договора, устанавливающих очередность погашения требований по денежному обязательству, а также неприменения судами пункта 4 статьи 329 ГК Российской Федерации, отсутствия проверки добросовестности действий ответчика, несогласия с расчетом, представленным ответчиком, допустимости принятия судами указанного расчета в качестве доказательства, обоснованности начисления штрафной неустойки, соразмерности и добровольного характера ее уплаты, свидетельствуют о том, что, формально оспаривая конституционность указанных законоположений, 3 он связывает нарушение своих прав не с их содержанием, а фактически предлагает Конституционному Суду Российской Федерации оценить обоснованность правоприменительных решений по конкретному делу с учетом его обстоятельств. Между тем исследование фактических обстоятельств конкретного дела, оценка доказательств, а также проверка правильности выбора и применения правовых норм с учетом таких обстоятельств не относятся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Пономарева Станислава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