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Осадчих Елены Анатольевны на нарушение ее конституционных прав пунктом 7 статьи 38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Е.А.Осадчих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Е.А.Осадчих, в деле с участием которой отклонен ее довод о пропуске ее бывшим супругом срока исковой давности по требованию о разделе общего имущества супругов, оспаривает конституционность пункта 7 статьи 38 Семейного кодекса Российской Федерации, предусматривающего, что к требованиям супругов о разделе общего имущества супругов, брак которых расторгнут, применяется трехлетний срок исковой давности. По мнению заявительницы, оспариваемое положение противоречит статьям 25, 35 и 40 Конституции Российской Федерации, поскольку оно не закрепляет пресекательного срока, в течение которого гражданин может потребовать раздела общего имущества супругов, брак которых расторгнут, в судебном порядке. Кроме того, Е.А.Осадчих ссылается на то, что в 2 соответствии с общим правилом пункта 2 статьи 196 ГК Российской Федерации срок исковой давности не может превышать десять лет со дня нарушения права, для защиты которого этот срок установлен.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Осадчих Елены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