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Цилюрик Светланы Владимировны на нарушение ее конституционных прав и конституционных прав ее несовершеннолетнего сына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С.В.Цилюрик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С.В.Цилюрик, действующая в своих интересах и в интересах несовершеннолетнего сына, утверждает, что статья 125 «Судебный порядок рассмотрения жалоб» УПК Российской Федерации не соответствует статьям 10, 18, 19, 33, 46 и 55 (часть 3) Конституции Российской Федерации, поскольку не предусматривает правил об обязанности суда, признавшего незаконными действия и решения органов следствия и прокурора, установить срок устранения допущенных нарушений и не обеспечивает реализацию права потерпевшего на доступ к правосудию и исполнение судебного решения в 2 разумный срок, в том числе в случае повторного необоснованного отказа в возбуждении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Цилюрик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