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9 статьи 32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(далее также – Общество) оспаривает конституционность части 9 статьи 32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согласно которой не допускается использование заказчиком не предусмотренных данной статьей критериев или их величин значимости, установленных частью 6 той же статьи и в соответствии с частью 8 этой статьи; в случае невыполнения заказчиком требования данной части определение поставщика (подрядчика, исполнителя) может быть признано недействительным по иску участника или участников закупки. 2 Как следует из представленных материалов, решением арбитражного суда, с которым согласились вышестоящие суды, отказано в удовлетворении иска Общества о признании незаконным протокола подведения итогов открытого конкурса в электронной форме, о возложении на комиссию обязанности принять решение с учетом незаконности оценивания конкурсных заявок по критерию «опыт работы» с точки зрения количества исполненных договоров. По мнению заявителя, оспариваемая норма не соответствует статьям 8 (часть 1), 34 (часть 2) и 120 (часть 2) Конституции Российской Федерации, поскольку в том числе позволяет применять критерии оценки заявок участников закупки, не предусмотренные законом и постановлением Правительства Российской Федерации, что вопреки установленному запрету ограничивает конкуренцию.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