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Шевченко Вячеслава Юрьевича на нарушение его конституционных прав статьями 62, 226 и 227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В.Ю.Шевченко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В.Ю.Шевченко оспаривает конституционность статей 62 «Обязанность доказывания»,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и 227 «Решение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КАС Российской Федерации. Из представленных материалов следует, что решением суда общей юрисдикции, с которым согласились вышестоящие суды, В.Ю.Шевченко 2 отказано в удовлетворении административного искового заявления об оспаривании ответа руководителя Управления Росреестра по Оренбургской области на его обращение о возмещении вреда, который, как полагал заявитель, был причинен государственной регистрацией перехода права собственности на объекты недвижимого имущества. Суды пришли к выводу о правомерности оспариваемого ответа, а также указали, что заявитель не лишен возможности оспорить в судебном порядке действия должностных лиц Росреестра по государственной регистрации перехода права собственности на объекты недвижимого имущества. По мнению В.Ю.Шевченко, оспариваемые законоположения позволяют суду не оценивать по существу ответ должностного лица, которым отказано в возмещении материального ущерба, причиненного гражданину незаконной государственной регистрацией перехода права собственности на объекты недвижимого имущества, несмотря на представленные истцом доказательства ее незаконности, а потому противоречат статье 46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Шевченко Вячеслава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