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3317-О/2024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ТД «ГРАВИТО» на нарушение его конституционных прав пунктами 8 и 11 статьи 38 Таможенного кодекса Евразийского экономического союза, а также статьей 33 Федерального закона «О таможенном регулировании в Российской Федерации и о внесении изменений в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ТД «ГРАВИТО»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ТД «ГРАВИТО» (далее также – ООО ТД «ГРАВИТО») оспаривает конституционность пунктов 8 и 11 статьи 38 «Общие положения о таможенной стоимости товаров» Таможенного кодекса Евразийского экономического союза, а также статьи 33 «Применение курса иностранной валюты» Федерального закона от 3 августа 2018 года № 289-ФЗ «О таможенном регулировании в Российской 2 Федерации и о внесении изменений в отдельные законодательные акты Российской Федерации». Как следует из представленных материалов, решением арбитражного суда первой инстанции, оставленным без изменения судом апелляционной инстанции, заявителю отказано в признании незаконными и отмене решений таможенного органа о внесении изменений (дополнений) в сведения, заявленные в декларациях. По мнению ООО ТД «ГРАВИТО», оспариваемые нормативные положения противоречат статьям 2, 8, 56 (часть 3) и 57 Конституции Российской Федерации, поскольку препятствуют декларированию товаров, ввезенных из иностранного государства по их реальной стоимости, в связи с обязательностью использования официального курса валют Центрального банка данного иностранного государства.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пункта 3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исчерпаны все другие внутригосударственные средства судебной защиты прав заявителя при разрешении конкретного дела. При этом под таким исчерпанием понимается подача в соответствии с законодательством о соответствующем виде судопроизводства заявителем кассационной жалобы в суд максимально высокой для данной категории дел инстанции или в случае, если вступившие в силу судебные акты по данной категории дел подлежат обжалованию только в надзорном порядке, надзорной жалобы, если судебный акт, в котором был применен оспариваемый нормативный акт, был предметом кассационного или надзорного обжалования в связи с применением этого нормативного акта, а подача кассационной или надзорной жалобы не привела к устранению признаков нарушения конституционных прав. 3 Между тем ООО ТД «ГРАВИТО» представлены лишь судебные акты судов первой и апелляционной инстанций, что не позволяет сделать вывод об исчерпании им всех других внутригосударственных средств судебной защиты.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ТД «ГРАВИТО»,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