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Спиридоновой Нины Федоровны на нарушение ее конституционных прав статьей 6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Н.Ф.Спиридоновой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Н.Ф.Спиридонова оспаривает конституционность статьи 6 «Обязательность решений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Федерации». Как следует из представленных материалов, решением суда общей юрисдикции заявительнице было отказано в удовлетворении ее требований, в том числе о признании незаконным бездействия уполномоченного органа, выразившегося в неисполнении, по мнению заявительницы, судебных постановлений. Апелляционным определением областного суда, с которым согласились суды вышестоящих инстанций, решение суда первой инстанции 2 отменено, производство по делу прекращено. Как указали суды, заявительницей выбран неверный способ защиты нарушенного права, поскольку действующим законодательством не предусмотрен такой способ защиты нарушенного права, как признание в порядке административного судопроизводства незаконным бездействия, выраженного в неисполнении вступивших в законную силу судебных актов. По мнению заявительницы, оспариваемая норма позволила судам при рассмотрении ее конкретного дела не учитывать Определение Конституционного Суда Российской Федерации от 28 сентября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Спиридоновой Нины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