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«Неразрушающий контроль» на нарушение его конституционных прав частью 5 статьи 5 Федерального закона «О закупках товаров, работ, услуг отдельными видами юридических лиц»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«Неразрушающий контроль»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«Неразрушающий контроль» (далее также – ООО «Неразрушающий контроль») оспаривает конституционность части 5 статьи 5 Федерального закона от 18 июля 2011 года № 223-ФЗ «О закупках товаров, работ, услуг отдельными видами юридических лиц», в силу которой сведения, содержащиеся в реестре недобросовестных поставщиков, по истечении двух лет со дня их внесения в реестр недобросовестных поставщиков исключаются из этого реестра. Как следует из представленных материалов, арбитражным судом первой инстанции, с которым согласились вышестоящие суды, отказано в удовлетворении требования ООО «Неразрушающий контроль» о признании 2 незаконным приказа Федеральной антимонопольной службы о включении сведений о нем в реестр недобросовестных поставщиков. По мнению заявителя, оспариваемое законоположение противоречит Конституции Российской Федерации, в частности ее статье 55, поскольку не предполагает возможности смягчения наказания в виде уменьшения срока нахождения соответствующих сведений в реестре недобросовестных поставщиков или освобождения от ответственности ввиду малозначительности нарушения.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«Неразрушающий контроль»,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