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Харизаменовой Галины Гавриловны на нарушение ее конституционных прав пунктом 1 статьи 308, статьей 325, пунктом 1 статьи 384, статьями 390, 431 и 460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Г.Г.Харизаменовой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общества, с которым согласились суды вышестоящих инстанций, было отказано в удовлетворении заявления гражданки Г.Г.Харизаменовой о признании торгов недействительными, а также о признании недействительным заключенного по результатам торгов договора уступки требования (цессии). При этом суды исходили в том числе из того, что заключенный по результатам проведения торгов договор уступки требования сторонами исполнен, денежные средства поступили в конкурсную массу должника, каких-либо нарушений в 2 организации и проведении торгов, повлекших нарушение прав кредиторов должника, не установлено. Г.Г.Харизаменова оспаривает конституционность пункта 1 статьи 308, статьи 325, пункта 1 статьи 384, статей 390, 431 и 460 ГК Российской Федерации. По мнению заявительницы, данные законоположения противоречат статьям 2, 8, 18, 19, 35, 46 (часть 1) и 55 (часть 3) Конституции Российской Федерации в той мере, в какой они по смыслу, придаваемому им правоприменительной практикой, предусматривают при реализации в процедуре банкротства с торгов требования о привлечении к субсидиарной ответственности презумпцию одновременного, совместного отчуждения требований реестровых и иных кредиторов в отсутствие выраженного волеизъявления собственников, без включения требований этих кредиторов в предмет торгов, без проведения оценки стоимости данных требований при формировании начальной цены на торгах, без включения в предмет договора цессии требований указанных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308, 325, 384, 390, 431 и 460 ГК Российской Федерации обеспечивают определенность в вопросе о сторонах обязательства, порядке исполнения солидарной обязанности одним из должников, объеме прав кредитора, переходящих к другому лицу, ответственности цедента, толковании договора, а также предусматривают обязанность продавца передать товар свободным от прав третьих лиц. Данные положения не предполагают нарушения требований действующего законодательства при проведении торгов в процедурах банкротства и не могут рассматриваться как нарушающие конституционные права заявительницы в аспекте, указанном в жалобе. Установление же и оценка фактических обстоятельств конкретного дела, а равно и проверка правильности применения судами норм права с 3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Харизаменовой Галины Гавриловны,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