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Кислицыной Татьяны Борисовны на нарушение ее конституционных прав статьей 384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Т.Б.Кислицыной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Т.Б.Кислицына (индивидуальный предприниматель) оспаривает конституционность статьи 384 ГК Российской Федерации, а фактически – ее пункта 1, согласно которому,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Из представленных материалов следует, что решением арбитражного суда, с которым согласились суды вышестоящих инстанций, отказано в 2 удовлетворении исковых требований Т.Б.Кислицыной о взыскании неосновательного обогащения за пользование кровлей здания, процентов за пользование чужими денежными средствами. Суды исходили, в частности, из того, что из буквального толкования положений договора аренды во взаимосвязи с аукционной документацией по продаже спорного здания следует, что условие о необходимости предоставления места для размещения оборудования при обратной аренде здания не подразумевает взимания дополнительной платы за пользование частью кровли, что должным образом согласовано сторонами при заключении договора аренды. При приобретении здания заявительнице было достоверно известно о том, что в отношении здания имеется обременение в виде аренды в пользу банка на 10 лет с предоставлением арендатору места на кровле здания, а также указали, что новый собственник как новый арендодатель не приобретает новых прав по договору, смена собственника объекта недвижимости не является основанием для изменения договорных позиций арендодателя и арендатора. По мнению Т.Б.Кислицыной, оспариваемое положение противоречит статье 35 Конституции Российской Федерации в той мере, в какой оно по смыслу, придаваемому ему правоприменительной практикой, предполагает повышенную защиту прав арендатора, умаляя права нового собственника (арендодателя) при предоставлении арендатору права безвозмездного пользования имуществом, на которое должен распространяться договор аренды, при отсутствии документального оформления соответствующего права, а также указания на безвозмездное пользование имуществом.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384 ГК Российской Федерации с учетом конституционно значимого принципа свободы договора имеет целью обеспечение определенности правового положения, а также установление справедливого баланса интересов участников обязательственных правоотношений, в том числе нового и первоначального кредиторов в 3 обязательстве (определения Конституционного Суда Российской Федерации от 30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Кислицыной Татьяны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