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части первой статьи 236 Трудового кодекса Российской Федерации, согласно которой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2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По мнению А.Ю.Печорина, оспариваемая норма не соответствует статьям 2, 18, 19, 37 (часть 3), 45, 46 (часть 1) и 123 (часть 3) Конституции Российской Федерации в той мере, в какой в системе действующего правового регулирования по смыслу, придаваемому ей правоприменительной практикой, предоставляет судам право отказывать в удовлетворении требований работников об установлении денежной компенсации за задержку причитающихся им выплат только лишь на том основании, что эти выплаты изначально не были начислены работодателем и являлись предметом спора между сторонами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соответствии Конституции Российской Федерации части первой статьи 236 Трудового кодекса Российской Федерации был разрешен Конституционным Судом Российской Федерации в Постановлении от 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