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Квитанцева Александра Сергеевича на нарушение его конституционных прав частью 1 статьи 153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А.С.Квитанцева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А.С.Квитанцев, с которого в пользу управляющей многоквартирным домом организации взыскана задолженность по оплате жилищно-коммунальных услуг, оспаривает конституционность части 1 статьи 153 Жилищного кодекса Российской Федерации, закрепляющей, что граждане и организации обязаны своевременно и полностью вносить плату за жилое помещение и коммунальные услуги. По мнению заявителя, названная норма противоречит взаимосвязанным положениям пункта 1 статьи 2, пункта 2 статьи 3, статьи 128 и пункта 2 статьи 307 ГК Российской Федерации, преамбулы Закона 2 Российской Федерации от 7 февраля 1992 года № 2300-I «О защите прав потребителей» и статьи 195 ГПК Российской Федерации, ввиду чего не соответствует статьям 15 (часть 2), 35 (части 1 и 3) и 120 (часть 1) Конституции Российской Федерации. В жалобе отмечено, что отсутствие в части 1 статьи 153 Жилищного кодекса Российской Федерации указания о том, кому должна вноситься плата, создает правовую неопределенность и влечет произвольное применение этого нормативного положения.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в части 1 статьи 153 Жилищного кодекса Российской Федерации правило направлено на поддержание дома в состоянии, соответствующем санитарным и техническим требованиям, обеспечивает сохранение условий для осуществления прав собственности и на жилище (статья 35; статья 40, часть 1, Конституции Российской Федерации) и не предусматривает обязанности собственника жилого помещения оплачивать услуги, которые не были оказаны либо были оказаны без законных на то оснований. Положения законодательства, регулирующие отношения по оказанию жилищно-коммунальных услуг, действуют не изолированно и находятся в системной связи. Так, по общему правилу собственники помещений в многоквартирном доме,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организацией, плату за жилое помещение и коммунальные услуги вносят этой управляющей организации (часть 7 статьи 155 Жилищного кодекса Российской Федерации). Следовательно, оспариваемая норма не может рассматриваться в качестве нарушающей конституционные права заявителя, в деле с участием которого судами был исследован и отвергнут довод об отсутствии у него договорных отношений с управляющей организацией. 3 Установление же и оценка фактических обстоятельств конкретного дела, а также проверка правильности применения части 1 статьи 153 Жилищного кодекса Российской Федерации – с учетом этих обстоятельств –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Квитанцева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