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Байкина Анатолия Тимофеевича на нарушение его конституционных прав пунктом 2 статьи 10 Закона Российской Федерации «О статусе судей в Российской Федерации» и частью третьей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А.Т.Байкина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А.Т.Байкин, которому письмом судьи Верховного Суда Российской Федерации даны разъяснения о том, что ранее поданные им кассационные жалобы рассмотрены в установленном законом порядке, оспаривает конституционность пункта 2 статьи 10 «Недопустимость вмешательства в деятельность судьи» Закона Российской Федерации от 26 июня 1992 года № 3132-I «О статусе судей в Российской Федерации» и части третьей статьи 3907 «Рассмотрение кассационных жалобы, представления» ГПК Российской Федерации. 2 А.Т.Байкин просит признать оспариваемые законоположения не соответствующими статьям 19, 46, 47 и 48 Конституции Российской Федерации в той мере, в какой они позволяют судье Верховного Суда Российской Федерации рассмотреть кассационную жалобу, поданную на имя Председателя этого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Предусмотренная частью третьей статьи 3907 ГПК Российской Федерации возможность обращения к Председателю Верховного Суда Российской Федерации, его заместителю с просьбой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расширяет процессуальные возможности лиц, участвующих в деле,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защиту. Таким образом, часть третья статьи 3907 ГПК Российской Федерации не может рассматриваться в качестве нарушающей конституционное право заявителя, чья кассационная жалоба, поданная в установленном оспариваемой нормой порядке, была рассмотрена, как следует из представленных материалов, указанным в ней должностным лицом. Письмо же судьи Верховного Суда Российской Федерации, содержащее сведения о том, что ранее поданные А.Т.Байкиным кассационные жалобы были рассмотрены в соответствии с требованиями процессуального законодательства, не свидетельствует, вопреки доводам заявителя, о рассмотрении этим судьей каких-либо его кассационных жалоб. Оценка же правильности разрешения вопросов о возможности рассмотрения в Верховном Суде Российской Федерации кассационных жалоб заявителя либо о наличии оснований для их возвращения к компетенции 3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Что касается пункта 2 статьи 10 Закона Российской Федерации «О статусе судей в Российской Федерации», то представленными материалами не подтверждается применение судом в деле А.Т.Байкина данного законоположения. Следовательно, и в этой части жалоба заявителя не может быть признана допустимой в соответствии с требованиями статей 96 и 97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Байкина Анатолия Тимофеевича,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