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3014-О/2025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Малаховой Елены Сергеевны на нарушение ее конституционных прав рядом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Е.С.Малаховой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Е.С.Малахова оспаривает конституционность раздела 3 подпрограммы 1 «Стимулирование развития жилищного строительства на территории Белгородской области» государственной программы Белгородской области «Обеспечение доступным и комфортным жильем и коммунальными услугами жителей Белгородской области» (утверждена постановлением Правительства Белгородской области от 28 октября 2013 года № 441-пп, утратившим силу с 1 января 2024 года; в редакции постановления Правительства Белгородской области от 4 февраля 2019 года № 59-пп) в части основного мероприятия № 1.17 «Реализация мероприятий по строительству жилья для молодых специалистов и их семей в рамках проекта «Новая Жизнь», а также Положения об условиях участия граждан в проекте «Новая жизнь. 2 ИЖС» (утверждено решением совета директоров акционерного общества – специализированного застройщика от 3 февраля 2020 года), результатов документарной проверки реализации проекта «Новая жизнь – ИЖС» от 19 октября 2020 года, проводившейся департаментом строительства и транспорта Белгородской области, и приказа генерального директора указанного акционерного общества от 29 октября 2020 года. Как следует из представленных материалов, Е.С.Малахова заключила договор о паевом взносе и была включена в члены жилищного накопительного кооператива «Новая жизнь» и основной список участников проекта «Новая Жизнь. ИЖС». В ходе последующей проверки было выявлено несоответствие заявительницы условиям участия в проекте, в связи с чем она была исключена из перечня его участников. Решением суда общей юрисдикции, с которым согласились суды вышестоящих инстанций, отказано в удовлетворении ряда требований Е.С.Малаховой, направленных на восстановление статуса участника проекта и предоставление ей жилого помещения. По мнению Е.С.Малаховой, оспариваемые акты противоречат Конституции Российской Федерации, в том числе ее статьям 7 (часть 1), 19 (части 1 и 2), 40 и 72 (пункт «к» части 1), в той мере, в какой коммерческой организации были предоставлены полномочия ретроспективно регулировать жилищные правоотношения и меры социальной поддержки; в отношении нее имела место дискриминация при применении этих актов, она была лишена мер социальной поддержки, своей собственности без компенсации, а также оказалось нарушенным ее право на жилище.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Малаховой Елены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