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Болявина Андрея Петровича на нарушение его конституционных прав статьей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А.П.Болявина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А.П.Болявин оспаривает конституционность статьи 234 «Приобретательная давность»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А.П.Болявину отказано в удовлетворении требования о признании за ним доли в праве собственности на квартиру. В обоснование иска было среди прочего указано, что истец принял в наследство долю в праве собственности (1/3) на квартиру; непрерывное владение этой квартирой с учетом срока владения этой долей правопредшественников истца превышает пятнадцать лет; на оставшуюся долю в праве собственности (2/3) никто не претендует. 2 Суды, установив, что А.П.Болявин стал собственником в 2019 году, пришли к выводу, что предусмотренный законом срок приобретательной давности не истек. По мнению А.П.Болявина, оспариваемая норма противоречит статьям 19, 35, 46 и 55 Конституции Российской Федерации в той мере, в какой содержит неопределенность в вопросе о возможности присоединения ко времени владения вещью давностным владельцем периода, в течение которого этим имуществом владели правопреемники такого владельца.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Болявина Андрея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