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Чупоршнева Романа Александровича на нарушение его конституционных прав статьями 2.7 и 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Р.А.Чупоршнева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Р.А.Чупоршнев оспаривает конституционность статей 2.7 «Крайняя необходимость» и 6.11 «Побои» КоАП Российской Федерации. Как следует из представленных материалов, постановлением мирового судьи, оставленным без изменения судьями вышестоящих судов, заявитель был признан виновным в совершении административного правонарушения, предусмотренного статьей 6.11 КоАП Российской Федерации, и ему было назначено административное наказание в виде административного штрафа в размере пяти тысяч рублей. Как указали суды, вопреки мнению заявителя, положения статьи 2.7 КоАП Российской Федерации не могут быть применены в его деле. 2 Выражая несогласие с судебными решениями, заявитель полагает, что оспариваемые нормы не позволяют освободить его от административной ответственности за нанесение побоев при крайней необходимости, а потому противоречат Конституции Российской Федерации, ее статьям 19 и 22.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Чупоршнева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