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пунктами 45 и 47 статьи 2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пунктов 45 и 47 статьи 2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предусматривающих соответствующие изменения пункта 1 статьи 33319 и пункта 1 статьи 33321 Налогового кодекса Российской Федерации, которыми установлены размеры государственной пошлины по делам, рассматриваемым Верховным Судом Российской 2 Федерации, судами общей юрисдикции, мировыми судьями, а также размеры государственной пошлины по делам, рассматриваемым Верховным Судом Российской Федерации, арбитражными судами (в редакции Федерального закона от 8 августа 2024 года № 259-ФЗ). Как следует из представленных материалов, кассационная жалоба заявителя в Верховный Суд Российской Федерации возвращена без рассмотрения по существу в связи с неуплатой государственной пошлины с учетом изменений, внесенных Федеральным законом от 8 августа 2024 года № 259-ФЗ. По мнению заявителя, оспариваемые законоположения нарушают его право на судебную защиту, так как изменяют размер государственной пошлины в рамках уже начатого судебного процесса, а потому противоречат статьям 2, 15 (часть 1), 18, 19 (часть 2), 46 (части 1 и 2), 55 (часть 2) и 56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