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части 2 статьи 69 «Основания освобождения от доказывания» АПК Российской Федерации. Как следует из представленных материалов, арбитражный суд, в том числе со ссылкой на ранее принятый по другому делу с участием тех же лиц судебный акт, удовлетворил исковые требования органа муниципальной власти к О.М.Гайдукову, с чем согласились суды вышестоящих инстанций. Определением судьи Верховного Суда Российской Федерации заявителю было отказано в передаче кассационной жалобы для рассмотрения в судебном 2 заседании Судебной коллегии по экономическим спорам Верховного Суда Российской Федерации. По мнению О.М.Гайдукова,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статьям 1 (часть 1), 4 (часть 2), 10, 15 (части 1 и 2), 17, 19 (части 1 и 2), 45 (часть 1), 46 (части 1 и 2), 55 (часть 3), 118 (часть 2), 120 (часть 1), 123 (часть 3) и 128 (часть 3) Конституции Российской Федерации, поскольку допускает возможность придания преюдициального значения содержащимся в мотивировочной части решения выводам суда относительно юридической оценки фактов и не позволяет суду дать этим фактам иную оценку в рамках рассмотрения другого спора.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