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843-О/2025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Буруновой Анны Владимировны на нарушение ее конституционных прав пунктом 1 статьи 1491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А.В.Буруновой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А.В.Бурунова оспаривает конституционность пункта 1 статьи 1491 ГК Российской Федерации, предусматривающего, что исключительное право на товарный знак действует в течение десяти лет с даты подачи заявки на государственную регистрацию товарного знака в федеральный орган исполнительной власти по интеллектуальной собственности либо в случае регистрации товарного знака по выделенной заявке с даты подачи первоначальной заявки. Из представленных материалов следует, что апелляционным определением отменено решение суда общей юрисдикции, которым по иску 2 А.В.Буруновой договор об использовании товарного знака между нею и гражданкой С. признан незаключенным, а с С. в пользу заявительницы взысканы денежные средства и проценты за пользование чужими денежными средствами; суд апелляционной инстанции принял новое решение об отказе в удовлетворении требований. В обоснование иска А.В.Бурунова ссылалась, среди прочего, на несогласованность в лицензионном договоре условия о предмете и на то, что ей не было предоставлено право использовать товарный знак. Упомянув, что договор был заключен после подачи заявки на государственную регистрацию товарного знака, суд апелляционной инстанции отметил, что содержание договора позволяет установить волю и волеизъявление его сторон, его предмет и условия и что договор исполнялся сторонами в течение нескольких месяцев. В передаче кассационной жалобы А.В.Буруновой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статьям 17 (часть 3), 34, 44 (часть 1), 45 (часть 1), 46 (часть 1) и 55 (часть 3) Конституции Российской Федерации, поскольку по смыслу, придаваемому ему во взаимосвязи с иными положениями Гражданского кодекса Российской Федерации правоприменительной практикой, оно позволяет недобросовестным лицам необоснованно получать имущественную выгоду, выдавая за товарный знак обозначение, заявка на государственную регистрацию которого в качестве товарного знака подана в Роспатент, и распоряжаясь правом, которое не возникает до даты государственной регистрации товарного знака.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1491 ГК Российской Федерации обеспечивает реализацию положений статьи 44 (часть 1) Конституции Российской 3 Федерации об охране интеллектуальной собственности законом (Определение от 18 июля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Буруновой Анны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