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Лысова Сергея Викторовича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С.В.Лысова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гражданину С.В.Лысову возвращена без рассмотрения его повторная надзорная жалоба на постановленный в отношении него приговор и определение судебной коллегии по уголовным делам Верховного Суда Российской Федерации, поскольку законность обжалуемых решений проверялась ранее по его надзорным жалобам. В этой связи С.В.Лысов утверждает, что статья 40117 «Недопустимость внесения повторных кассационных жалобы, представления» УПК Российской Федерации противоречит статьям 15 (часть 1), 19 (часть 1), 46 2 (части 1 и 2), 47 (часть 1) и 50 (часть 3) Конституции Российской Федерации, поскольку препятствует оспариванию судебных решений и не допускает исправления допущенной в уголовном деле ошибки.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Относительно вопроса о возможности подачи очередных надзорных жалоб Конституционный Суд Российской Федерации неоднократно указывал, что положения главы 481 УПК Российской Федерации, включая ее статью 4125, не могут расцениваться как препятствующие выявлению и устранению в порядке надзора судебных ошибок, свидетельствующих о неправосудности принятого нижестоящим судом решения (определения от 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Лысова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