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Мирошниковой Натальи Викторовны на нарушение ее конституционных прав положением части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Н.В.Мирошниковой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Н.В.Мирошникова оспаривает конституционность положения части первой статьи 392 Трудового кодекса Российской Федерации, согласно которому работник имеет право обратиться в суд за разрешением индивидуального трудового спора об увольнении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661 данного Кодекса) у работодателя по последнему месту работы. 2 По мнению заявительницы, которой было отказано в удовлетворении иска о восстановлении на работе в связи с пропуском срока обращения в суд, оспариваемое положение не соответствует статьям 17, 18, 19, 37 (части 1–3), 45, 46, 48, 55 и 60 Конституции Российской Федерации, поскольку оно в системе действующего правового регулирования по смыслу, придаваемому правоприменительной практикой, позволяет суду произвольно его применять и тем самым лишает работника возможности защищать трудовые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Мирошниковой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