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Сычевой Натальи Валерьевны на нарушение ее конституционных прав пунктом 5 части 2 статьи 153 и пунктом 1 части 2 статьи 154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Н.В.Сычевой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Н.В.Сычева, с которой взыскана задолженность по плате за содержание, обслуживание и текущий ремонт общего имущества собственников помещений в жилом комплексе, оспаривает конституционность пункта 5 части 2 статьи 153 «Обязанность по внесению платы за жилое помещение и коммунальные услуги» и пункта 1 части 2 статьи 154 «Структура платы за жилое помещение и коммунальные услуги» Жилищного кодекса Российской Федерации. По мнению заявительницы, оспариваемые законоположения противоречат статьям 17 (часть 3), 19 (части 1 и 2), 35 (части 1 и 2), 55 (часть 3) и 751 Конституции Российской Федерации в той мере, в какой их применение в 2 судебной практике нарушает конституционные права собственников индивидуальных жилых домов и домов блокированной застройки с общей инфраструктурой, не гарантирует при определении порядка и условий установления и взимания платы за управление таким имуществом и за его содержание справедливый баланс прав, обязанностей и законных интересов субъектов указанных 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Сычевой Натальи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