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Акопян Сони Люрисовны на нарушение ее конституционных прав положениями статей 22 и 134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С.Л.Акопян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С.Л.Акопян оспаривает конституционность следующих положений Трудового кодекса Российской Федерации: части первой (в жалобе ошибочно поименована абзацем) статьи 22, закрепляющей основные права работодателя; статьи 134,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2 порядке, установленном трудовым законодательством и иными нормативными правовыми актами, содержащими нормы трудового права, другие работодатели – в порядке, установленном коллективным договором, соглашениями, локальными нормативными актами. По мнению заявительницы, оспариваемые нормы не соответствуют статье 37 Конституции Российской Федерации в той мере, в какой они в системе действующего правового регулирования по смыслу, придаваемому правоприменительной практикой, позволяют работодателю, не относящемуся к бюджетной сфере, уклоняться от осуществления индексации заработной платы, не обеспечивать повышение уровня ее реального содержания и тем самым ставить таких работников в неравное положение с работниками государственных органов, органов местного самоуправления, государственных и муниципальных учреждений.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Акопян Сони Люрисовны,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