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Кострюковой Ирины Евгеньевны на нарушение ее конституционных прав частью первой статьи 1080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И.Е.Кострюковой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были удовлетворены исковые требования заместителя Генерального прокурора Российской Федерации, действующего в интересах Российской Федерации и неопределенного круга лиц, к гражданке И.Е.Кострюковой и другим о возмещении ущерба, обращении в доход Российской Федерации имущества в счет возмещения ущерба; солидарно с граждан в пользу Российской Федерации взыскана сумма ущерба, причиненного водным биологическим ресурсам. И.Е.Кострюкова оспаривает конституционность части первой статьи 1080 ГК Российской Федерации об ответственности за совместно причиненный вред. 2 По мнению заявительницы, данное законоположение, действуя в том числе во взаимосвязи с нормами статьи 1064 того же Кодекса, противоречит Конституции Российской Федерации, в частности ее статьям 2, 18, 19 (часть 1), 45, 46 (часть 1), 55 (часть 3) и 123 (часть 3), в той мере, в какой оно позволяет судам применять принцип солидарного взыскания при возмещении ущерба без определения в долях ответственности лиц, причинивших вред, с учетом всех обстоятельств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Кострюковой Ирины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