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Петрашова Павла Владимировича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П.В.Петрашова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П.В.Петрашов, которому судом отказано в удовлетворении исковых требований к банку о взыскании убытков, процентов за пользование чужими денежными средствами, неустойки, штрафа, компенсации морального вреда и возмещении судебных расходов, оспаривает конституционность части 7 статьи 5 «Порядок осуществления перевода денежных средств», части 34 статьи 8 «Распоряжение клиента, порядок его приема к исполнению и исполнения», части 111 статьи 9 «Порядок использования электронных средств платежа» Федерального закона от 27 июня 2011 года № 161-ФЗ «О национальной платежной системе». Заявитель связывает нарушение своих прав также с положениями 2 частей первой и второй статьи 11 «Нормативные правовые акты, применяемые судом при разрешении гражданских дел», части первой статьи 195 «Законность и обоснованность решения суда», пункта 1 части четвертой статьи 198 «Содержание решения суда», частей первой и второй статьи 330 «Основания для отмены или изменения решения суда в апелляционном порядке» ГПК Российской Федерации. Как следует из представленных материалов, отказывая в удовлетворении исковых требований заявителя, суд общей юрисдикции, с которым согласились суды вышестоящих инстанций, – установив, что заявитель, который сообщил неизвестным лицам свои данные, а также загрузил на свой смартфон и активировал неизвестное для него приложение, своими действиями допустил возможность вмешательства в управление его личным кабинетом в системе дистанционного банковского обслуживания со стороны третьих лиц и осуществления ими банковских операций, – пришел к выводу о законности действий банка по списанию денежных средств со счета П.В.Петрашова. По мнению заявителя, оспариваемые законоположения противоречат статьям 24 (часть 1), 35 (части 1–3) и 46 (часть 1) Конституции Российской Федерации, поскольку недостаточная детализация условий их применения допускает произвольный подход судов к их толкованию, вследствие чего было принято судебное решение, нарушающее его конституционные права. Заявитель также просит отменить соответствующие решения судов.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заявителя, приведенные в обоснование его позиции, в том числе о допущенных судами, по его мнению, процессуальных нарушениях и неправильном применении ими норм материального права, свидетельствуют о том, что, оспаривая конституционность перечисленных в жалобе законоположений, он, по существу, предлагает Конституционному Суду Российской Федерации оценить обоснованность судебных 3 постановлений, принятых по делу с его участием. Между тем такая оценка, предполагающая исследование фактических обстоятельств конкретного дела, равно как и разрешение иных вопросов, поставленных в жалобе, не отнесена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Петрашова Павла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