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Машенкина Юрия Владимировича на нарушение его конституционных прав пунктами 3 и 4 части 9 статьи 226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Ю.В.Машенкина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Ю.В.Машенкин оспаривает конституционность пунктов 3 и 4 части 9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КАС Российской Федерации. Как следует из представленных материалов, Ю.В.Машенкин обратился в суд с административным исковым заявлением о признании незаконным бездействия государственного органа и уполномоченного должностного лица, выразившегося в отказе от оформления и выдачи паспорта 2 транспортного средства на грузовой мотороллер, выпущенный в 1988 году и ранее не состоявший на государственном учете, а также о возложении обязанности на административных ответчиков выдать указанный документ и зарегистрировать транспортное средство. По итогам судебных разбирательств в удовлетворении заявленных требований было отказано, поскольку административным истцом не были представлены документы, подтверждающие безопасность конструкции транспортного средства. По мнению заявителя, оспариваемые законоположения не соответствуют статьям 1 (часть 1), 19 (часть 1), 35 (части 1 и 3), 46 (часть 1) и 55 (часть 3) Конституции Российской Федерации, поскольку они позволили отказать в выдаче паспорта транспортного средства на принадлежащий ему грузовой мотороллер.</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9 статьи 226 КАС Российской Федерации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 числе прочего, выясняет соблюдены ли требования нормативных правовых актов, устанавливающих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порядок принятия оспариваемого решения, совершения оспариваемого действия (бездействия) в случае, если такой порядок установлен;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(пункт 3);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(пункт 4). 3 Данные законоположения действуют во взаимосвязи с иными предписаниями Кодекса административного судопроизводства Российской Федерации, в том числе закрепленными в его статьях 3 «Задачи административного судопроизводства» и 176 «Законность и обоснованность решения суда», не предполагают произвольного применения содержащихся в них норм, обязывают суд установить все необходимые обстоятельства дела для принятия по заявленным требованиям законного и обоснованного решения. Таким образом, оспариваемые нормы, обеспечивающие правильное разрешение административного дела, не могут рассматриваться как нарушающие конституционные права заявителя в указанном им аспекте. Кроме того, приведенные заявителем доводы (о неправильном применении судами норм материального права и об ошибочности их выводов) свидетельствуют о том, что, формально оспаривая конституционность соответствующих норм, он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Машенкина Юрия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