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Медведева Алексея Павловича на нарушение его конституционных прав пунктами 1 и 2 статьи 35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А.П.Медведева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А.П.Медведев оспаривает конституционность пунктов 1 и 2 статьи 35 «Владение, пользование и распоряжение общим имуществом супругов»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среди прочего, отказано в удовлетворении требования А.П.Медведева о взыскании с его бывшей супруги половины стоимости жилого дома, снесенного, по утверждению заявителя, без его согласия. Суд первой инстанции, сославшись на имевшиеся в деле доказательства, указал, что решение о сносе объекта недвижимости принимали оба супруга. В 2 передаче кассационной жалобы А.П.Медведева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35 (части 1–3) и 40 (часть 1)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позволяют судам исходить из того, что при сносе объекта недвижимости, относящегося к общему имуществу супругов, один из супругов действует с согласия второго супруга, и не требовать нотариально удостоверенного согласия на снос.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35 Семейного кодекса Российской Федерации конкретизирует статью 35 (части 1 и 2) Конституции Российской Федерации с учетом специфики имущественных отношений супругов и необходимости обеспечения баланса их интересов и интересов иных участников гражданского оборота (определения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Медведева Алексея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