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957-О/2025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Сергиенко Владимира Ивановича на нарушение его конституционных прав пунктом 5 части 1 статьи 7 Федерального конституционного закона «О Верховном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В.И.Сергиенко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В.И.Сергиенко оспаривает конституционность пункта 5 части 1 статьи 7 Федерального конституционного закона от 5 февраля 2014 года № 3-ФКЗ «О Верховном Суде Российской Федерации», согласно которому Президиум Верховного Суда Российской Федерации утверждает положение об аппарате Верховного Суда Российской Федерации, его структуру и штатное расписание. Как следует из представленных материалов, определением судьи Верховного Суда Российской Федерации, с которым согласились вышестоящие инстанции, В.И.Сергиенко отказано в принятии административного искового заявления об оспаривании пункта 3.2.7 2 «Управление по организационному обеспечению рассмотрения обращений Верховного Суда» Положения об аппарате Верховного Суда Российской Федерации, утвержденного постановлением Президиума Верховного Суда Российской Федерации от 21 октября 2015 года. По мнению заявителя, оспариваемое законоположение не соответствует статьям 10, 19 и 46 Конституции Российской Федерации, поскольку препятствует оспариванию в судебном порядке утвержденного Президиумом Верховного Суда Российской Федерации положения об аппарате этого суда.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5 части 1 статьи 7 Федерального конституционного закона «О Верховном Суде Российской Федерации» в рамках конкретизации конституционных принципов самостоятельности и независимости судебной власти (статья 10; статья 120, часть 1, Конституции Российской Федерации) относит к полномочиям образованного в Верховном Суде Российской Федерации коллегиального органа – Президиума Верховного Суда Российской Федерации принятие ряда решений по вопросам внутренней организации деятельности этого суда, а именно утверждение положения об аппарате Верховного Суда Российской Федерации, его структуры и штатного расписания. Решения Президиума Верховного Суда Российской Федерации по данным вопросам непосредственно прав граждан, направляющих обращения в Верховный Суд Российской Федерации, не затрагивают и в связи с этим в действующей системе правового регулирования не подлежат судебному контролю в порядке административного или иного вида судопроизводства, что не может рассматриваться как нарушение права на судебную защиту, которое, как оно сформулировано в статье 46 Конституции Российской Федерации, не свидетельствует о возможности выбора гражданином по своему усмотрению того или иного способа и процедуры судебной защиты, 3 особенности которых применительно к отдельным категориям дел определяются федеральными законами (определения Конституционного Суда Российской Федерации от 20 апреля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Сергиенко Владимира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