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Янковенко Александра Ивановича на нарушение его конституционных прав пунктом 1 статьи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А.И.Янковенко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А.И.Янковенко, которому отказано в удовлетворении исковых требований о взыскании неосновательного обогащения, процентов за пользование чужими денежными средствами, оспаривает конституционность пункта 1 статьи 1102 «Обязанность возвратить неосновательное обогащение» ГК Российской Федерации. Как следует из представленных материалов, суды пришли к выводу, что факт возникновения неосновательного обогащения на стороне ответчика за счет истца не нашел своего подтверждения. 2 По мнению заявителя, оспариваемое положение противоречит статьям 19 (части 1 и 2) и 55 Конституции Российской Федерации в той мере, в какой в силу неопределенности его содержания порождает возможность его неоднозначного истолкования и произвольного применения, что препятствует взысканию неосновательного обогащения у лица, которое приобрело за счет другого лица имущество без законных оснований, в отсутствие какой-либо сделки, на основании предположения суда о том, что стороны по спору должны были понимать наличие между ними обязательств.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Янковенко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